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pageBreakBefore w:val="0"/>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Template</w:t>
      </w:r>
    </w:p>
    <w:p w:rsidR="00000000" w:rsidDel="00000000" w:rsidP="00000000" w:rsidRDefault="00000000" w:rsidRPr="00000000" w14:paraId="00000004">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C">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SUPPLIER REFERENCE</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Supplier’s reference number] </w:t>
        <w:tab/>
      </w:r>
      <w:r w:rsidDel="00000000" w:rsidR="00000000" w:rsidRPr="00000000">
        <w:rPr>
          <w:rtl w:val="0"/>
        </w:rPr>
      </w:r>
    </w:p>
    <w:p w:rsidR="00000000" w:rsidDel="00000000" w:rsidP="00000000" w:rsidRDefault="00000000" w:rsidRPr="00000000" w14:paraId="0000000D">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F">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10">
      <w:pPr>
        <w:pageBreakBefore w:val="0"/>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11">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2">
      <w:pPr>
        <w:pageBreakBefore w:val="0"/>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3">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pageBreakBefore w:val="0"/>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5">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7">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8">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9">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C">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pageBreakBefore w:val="0"/>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E">
      <w:pPr>
        <w:pageBreakBefore w:val="0"/>
        <w:spacing w:after="0" w:line="259"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It’s issued under the Framework Contract with the reference number RM6116 for the provision of </w:t>
      </w:r>
      <w:r w:rsidDel="00000000" w:rsidR="00000000" w:rsidRPr="00000000">
        <w:rPr>
          <w:rFonts w:ascii="Arial" w:cs="Arial" w:eastAsia="Arial" w:hAnsi="Arial"/>
          <w:sz w:val="24"/>
          <w:szCs w:val="24"/>
          <w:highlight w:val="white"/>
          <w:rtl w:val="0"/>
        </w:rPr>
        <w:t xml:space="preserve">Network Services.  </w:t>
      </w:r>
    </w:p>
    <w:p w:rsidR="00000000" w:rsidDel="00000000" w:rsidP="00000000" w:rsidRDefault="00000000" w:rsidRPr="00000000" w14:paraId="0000001F">
      <w:pPr>
        <w:pageBreakBefore w:val="0"/>
        <w:tabs>
          <w:tab w:val="left"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20">
      <w:pPr>
        <w:pageBreakBefore w:val="0"/>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21">
      <w:pPr>
        <w:pageBreakBefore w:val="0"/>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22">
      <w:pPr>
        <w:pageBreakBefore w:val="0"/>
        <w:rPr>
          <w:rFonts w:ascii="Arial" w:cs="Arial" w:eastAsia="Arial" w:hAnsi="Arial"/>
          <w:b w:val="1"/>
          <w:sz w:val="24"/>
          <w:szCs w:val="24"/>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23">
      <w:pPr>
        <w:keepNext w:val="1"/>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4">
      <w:pPr>
        <w:keepNext w:val="1"/>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6">
      <w:pPr>
        <w:pageBreakBefore w:val="0"/>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7">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sz w:val="24"/>
          <w:szCs w:val="24"/>
          <w:highlight w:val="white"/>
          <w:rtl w:val="0"/>
        </w:rPr>
        <w:t xml:space="preserve">RM6116</w:t>
      </w:r>
      <w:r w:rsidDel="00000000" w:rsidR="00000000" w:rsidRPr="00000000">
        <w:rPr>
          <w:rtl w:val="0"/>
        </w:rPr>
      </w:r>
    </w:p>
    <w:p w:rsidR="00000000" w:rsidDel="00000000" w:rsidP="00000000" w:rsidRDefault="00000000" w:rsidRPr="00000000" w14:paraId="00000028">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9">
      <w:pPr>
        <w:keepNext w:val="1"/>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Call-off schedule 17 (MOD Terms)</w:t>
      </w:r>
      <w:r w:rsidDel="00000000" w:rsidR="00000000" w:rsidRPr="00000000">
        <w:rPr>
          <w:rtl w:val="0"/>
        </w:rPr>
      </w:r>
    </w:p>
    <w:p w:rsidR="00000000" w:rsidDel="00000000" w:rsidP="00000000" w:rsidRDefault="00000000" w:rsidRPr="00000000" w14:paraId="0000002A">
      <w:pPr>
        <w:keepNext w:val="1"/>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B">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Joint Schedule 7 and Call-Off</w:t>
      </w:r>
    </w:p>
    <w:p w:rsidR="00000000" w:rsidDel="00000000" w:rsidP="00000000" w:rsidRDefault="00000000" w:rsidRPr="00000000" w14:paraId="0000002E">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8 contain optional terms which can be switched on by including the</w:t>
      </w:r>
    </w:p>
    <w:p w:rsidR="00000000" w:rsidDel="00000000" w:rsidP="00000000" w:rsidRDefault="00000000" w:rsidRPr="00000000" w14:paraId="0000002F">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wording in the list below. These optional terms are for use where the Call-Off</w:t>
      </w:r>
    </w:p>
    <w:p w:rsidR="00000000" w:rsidDel="00000000" w:rsidP="00000000" w:rsidRDefault="00000000" w:rsidRPr="00000000" w14:paraId="00000030">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Contract is a Bronze Contract only.</w:t>
      </w:r>
    </w:p>
    <w:p w:rsidR="00000000" w:rsidDel="00000000" w:rsidP="00000000" w:rsidRDefault="00000000" w:rsidRPr="00000000" w14:paraId="00000031">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32">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3">
      <w:pPr>
        <w:pageBreakBefore w:val="0"/>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sz w:val="24"/>
          <w:szCs w:val="24"/>
          <w:highlight w:val="white"/>
          <w:rtl w:val="0"/>
        </w:rPr>
        <w:t xml:space="preserve">RM6116</w:t>
      </w:r>
      <w:r w:rsidDel="00000000" w:rsidR="00000000" w:rsidRPr="00000000">
        <w:rPr>
          <w:rtl w:val="0"/>
        </w:rPr>
      </w:r>
    </w:p>
    <w:p w:rsidR="00000000" w:rsidDel="00000000" w:rsidP="00000000" w:rsidRDefault="00000000" w:rsidRPr="00000000" w14:paraId="00000034">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35">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3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3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6 (Key Subcontractors)</w:t>
        <w:tab/>
        <w:tab/>
        <w:tab/>
        <w:tab/>
        <w:t xml:space="preserve">]</w:t>
      </w:r>
    </w:p>
    <w:p w:rsidR="00000000" w:rsidDel="00000000" w:rsidP="00000000" w:rsidRDefault="00000000" w:rsidRPr="00000000" w14:paraId="00000038">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7 (Financial Difficulties) </w:t>
        <w:tab/>
        <w:tab/>
        <w:tab/>
        <w:tab/>
        <w:t xml:space="preserve">]</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[including Annex 5 – Optional Terms for Bronze Contracts]</w:t>
      </w:r>
    </w:p>
    <w:p w:rsidR="00000000" w:rsidDel="00000000" w:rsidP="00000000" w:rsidRDefault="00000000" w:rsidRPr="00000000" w14:paraId="0000003A">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8 (Guarantee) </w:t>
        <w:tab/>
        <w:tab/>
        <w:tab/>
        <w:tab/>
        <w:tab/>
        <w:t xml:space="preserve">]</w:t>
      </w:r>
    </w:p>
    <w:p w:rsidR="00000000" w:rsidDel="00000000" w:rsidP="00000000" w:rsidRDefault="00000000" w:rsidRPr="00000000" w14:paraId="0000003B">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9 (Minimum Standards of Reliability)</w:t>
        <w:tab/>
        <w:tab/>
        <w:t xml:space="preserve">]</w:t>
      </w:r>
    </w:p>
    <w:p w:rsidR="00000000" w:rsidDel="00000000" w:rsidP="00000000" w:rsidRDefault="00000000" w:rsidRPr="00000000" w14:paraId="0000003C">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10 (Rectification Plan) </w:t>
        <w:tab/>
        <w:tab/>
        <w:tab/>
      </w:r>
    </w:p>
    <w:p w:rsidR="00000000" w:rsidDel="00000000" w:rsidP="00000000" w:rsidRDefault="00000000" w:rsidRPr="00000000" w14:paraId="0000003D">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11 (Processing Data)</w:t>
        <w:tab/>
      </w:r>
    </w:p>
    <w:p w:rsidR="00000000" w:rsidDel="00000000" w:rsidP="00000000" w:rsidRDefault="00000000" w:rsidRPr="00000000" w14:paraId="0000003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12 (Supply Chain Visibility)</w:t>
        <w:tab/>
        <w:tab/>
        <w:tab/>
        <w:tab/>
      </w:r>
      <w:r w:rsidDel="00000000" w:rsidR="00000000" w:rsidRPr="00000000">
        <w:rPr>
          <w:rFonts w:ascii="Arial" w:cs="Arial" w:eastAsia="Arial" w:hAnsi="Arial"/>
          <w:sz w:val="24"/>
          <w:szCs w:val="24"/>
          <w:highlight w:val="white"/>
          <w:rtl w:val="0"/>
        </w:rPr>
        <w:t xml:space="preserve">]</w:t>
      </w:r>
      <w:r w:rsidDel="00000000" w:rsidR="00000000" w:rsidRPr="00000000">
        <w:rPr>
          <w:rtl w:val="0"/>
        </w:rPr>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40">
      <w:pPr>
        <w:pageBreakBefore w:val="0"/>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w:t>
      </w:r>
      <w:r w:rsidDel="00000000" w:rsidR="00000000" w:rsidRPr="00000000">
        <w:rPr>
          <w:rFonts w:ascii="Arial" w:cs="Arial" w:eastAsia="Arial" w:hAnsi="Arial"/>
          <w:color w:val="000000"/>
          <w:sz w:val="24"/>
          <w:szCs w:val="24"/>
          <w:highlight w:val="white"/>
          <w:rtl w:val="0"/>
        </w:rPr>
        <w:t xml:space="preserve"> </w:t>
      </w:r>
      <w:r w:rsidDel="00000000" w:rsidR="00000000" w:rsidRPr="00000000">
        <w:rPr>
          <w:rFonts w:ascii="Arial" w:cs="Arial" w:eastAsia="Arial" w:hAnsi="Arial"/>
          <w:sz w:val="24"/>
          <w:szCs w:val="24"/>
          <w:highlight w:val="white"/>
          <w:rtl w:val="0"/>
        </w:rPr>
        <w:t xml:space="preserve">RM6116</w:t>
      </w:r>
      <w:r w:rsidDel="00000000" w:rsidR="00000000" w:rsidRPr="00000000">
        <w:rPr>
          <w:rFonts w:ascii="Arial" w:cs="Arial" w:eastAsia="Arial" w:hAnsi="Arial"/>
          <w:color w:val="000000"/>
          <w:sz w:val="24"/>
          <w:szCs w:val="24"/>
          <w:rtl w:val="0"/>
        </w:rPr>
        <w:tab/>
        <w:tab/>
      </w:r>
    </w:p>
    <w:p w:rsidR="00000000" w:rsidDel="00000000" w:rsidP="00000000" w:rsidRDefault="00000000" w:rsidRPr="00000000" w14:paraId="00000041">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42">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43">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3 (Continuous Improvement)</w:t>
      </w:r>
    </w:p>
    <w:p w:rsidR="00000000" w:rsidDel="00000000" w:rsidP="00000000" w:rsidRDefault="00000000" w:rsidRPr="00000000" w14:paraId="00000044">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5 (Pricing Details)</w:t>
        <w:tab/>
        <w:tab/>
        <w:tab/>
        <w:tab/>
        <w:tab/>
        <w:t xml:space="preserve"> ]</w:t>
      </w:r>
    </w:p>
    <w:p w:rsidR="00000000" w:rsidDel="00000000" w:rsidP="00000000" w:rsidRDefault="00000000" w:rsidRPr="00000000" w14:paraId="00000045">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6 (ICT Services) </w:t>
        <w:tab/>
        <w:tab/>
        <w:tab/>
        <w:tab/>
        <w:tab/>
        <w:t xml:space="preserve"> ]</w:t>
      </w:r>
    </w:p>
    <w:p w:rsidR="00000000" w:rsidDel="00000000" w:rsidP="00000000" w:rsidRDefault="00000000" w:rsidRPr="00000000" w14:paraId="0000004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7 (Key Supplier Staff)</w:t>
        <w:tab/>
        <w:tab/>
        <w:t xml:space="preserve"> </w:t>
        <w:tab/>
        <w:tab/>
        <w:t xml:space="preserve"> ]</w:t>
      </w:r>
    </w:p>
    <w:p w:rsidR="00000000" w:rsidDel="00000000" w:rsidP="00000000" w:rsidRDefault="00000000" w:rsidRPr="00000000" w14:paraId="0000004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8 (Business Continuity and Disaster Recovery)]</w:t>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[amended for a Bronze Contract as per paragraph 10 of Part A of</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that Schedule</w:t>
      </w:r>
    </w:p>
    <w:p w:rsidR="00000000" w:rsidDel="00000000" w:rsidP="00000000" w:rsidRDefault="00000000" w:rsidRPr="00000000" w14:paraId="0000004A">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9 (Security)</w:t>
        <w:tab/>
        <w:tab/>
        <w:t xml:space="preserve"> </w:t>
        <w:tab/>
        <w:tab/>
        <w:t xml:space="preserve">  </w:t>
        <w:tab/>
        <w:tab/>
        <w:t xml:space="preserve"> ] </w:t>
      </w:r>
    </w:p>
    <w:p w:rsidR="00000000" w:rsidDel="00000000" w:rsidP="00000000" w:rsidRDefault="00000000" w:rsidRPr="00000000" w14:paraId="0000004B">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10 (Exit Management) </w:t>
        <w:tab/>
        <w:tab/>
        <w:tab/>
        <w:t xml:space="preserve"> </w:t>
        <w:tab/>
        <w:t xml:space="preserve"> ]</w:t>
      </w:r>
    </w:p>
    <w:p w:rsidR="00000000" w:rsidDel="00000000" w:rsidP="00000000" w:rsidRDefault="00000000" w:rsidRPr="00000000" w14:paraId="0000004C">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11 (Installation Works) </w:t>
        <w:tab/>
        <w:tab/>
        <w:tab/>
        <w:t xml:space="preserve">  </w:t>
        <w:tab/>
        <w:t xml:space="preserve"> ]</w:t>
      </w:r>
    </w:p>
    <w:p w:rsidR="00000000" w:rsidDel="00000000" w:rsidP="00000000" w:rsidRDefault="00000000" w:rsidRPr="00000000" w14:paraId="0000004D">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12 (Clustering) </w:t>
        <w:tab/>
        <w:tab/>
        <w:tab/>
        <w:tab/>
        <w:tab/>
        <w:t xml:space="preserve"> ]</w:t>
      </w:r>
    </w:p>
    <w:p w:rsidR="00000000" w:rsidDel="00000000" w:rsidP="00000000" w:rsidRDefault="00000000" w:rsidRPr="00000000" w14:paraId="0000004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13 (Implementation Plan and Testing) </w:t>
        <w:tab/>
        <w:tab/>
        <w:t xml:space="preserve"> ]</w:t>
      </w:r>
    </w:p>
    <w:p w:rsidR="00000000" w:rsidDel="00000000" w:rsidP="00000000" w:rsidRDefault="00000000" w:rsidRPr="00000000" w14:paraId="0000004F">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14 (Service Levels) </w:t>
        <w:tab/>
        <w:tab/>
        <w:tab/>
        <w:tab/>
        <w:t xml:space="preserve"> ]</w:t>
      </w:r>
    </w:p>
    <w:p w:rsidR="00000000" w:rsidDel="00000000" w:rsidP="00000000" w:rsidRDefault="00000000" w:rsidRPr="00000000" w14:paraId="00000050">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15 (Call-Off Contract Management) </w:t>
        <w:tab/>
        <w:tab/>
        <w:t xml:space="preserve"> ]</w:t>
      </w:r>
    </w:p>
    <w:p w:rsidR="00000000" w:rsidDel="00000000" w:rsidP="00000000" w:rsidRDefault="00000000" w:rsidRPr="00000000" w14:paraId="00000051">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16 (Benchmarking) </w:t>
        <w:tab/>
        <w:tab/>
        <w:tab/>
        <w:tab/>
        <w:t xml:space="preserve"> ]</w:t>
      </w:r>
    </w:p>
    <w:p w:rsidR="00000000" w:rsidDel="00000000" w:rsidP="00000000" w:rsidRDefault="00000000" w:rsidRPr="00000000" w14:paraId="00000052">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18 (Background Checks) </w:t>
        <w:tab/>
        <w:tab/>
        <w:tab/>
        <w:t xml:space="preserve"> ]</w:t>
      </w:r>
    </w:p>
    <w:p w:rsidR="00000000" w:rsidDel="00000000" w:rsidP="00000000" w:rsidRDefault="00000000" w:rsidRPr="00000000" w14:paraId="00000053">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19 (Scottish Law)</w:t>
        <w:tab/>
        <w:tab/>
        <w:tab/>
        <w:tab/>
        <w:tab/>
        <w:t xml:space="preserve"> ]</w:t>
      </w:r>
    </w:p>
    <w:p w:rsidR="00000000" w:rsidDel="00000000" w:rsidP="00000000" w:rsidRDefault="00000000" w:rsidRPr="00000000" w14:paraId="00000054">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20 (Call-Off Specification)</w:t>
        <w:tab/>
        <w:tab/>
        <w:tab/>
        <w:t xml:space="preserve"> ]</w:t>
      </w:r>
    </w:p>
    <w:p w:rsidR="00000000" w:rsidDel="00000000" w:rsidP="00000000" w:rsidRDefault="00000000" w:rsidRPr="00000000" w14:paraId="00000055">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21 (Northern Ireland Law) </w:t>
        <w:tab/>
        <w:tab/>
        <w:tab/>
        <w:t xml:space="preserve"> ]</w:t>
      </w:r>
    </w:p>
    <w:p w:rsidR="00000000" w:rsidDel="00000000" w:rsidP="00000000" w:rsidRDefault="00000000" w:rsidRPr="00000000" w14:paraId="0000005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22 (Lease Terms)</w:t>
        <w:tab/>
        <w:tab/>
        <w:tab/>
        <w:tab/>
        <w:tab/>
        <w:t xml:space="preserve"> ]</w:t>
      </w:r>
    </w:p>
    <w:p w:rsidR="00000000" w:rsidDel="00000000" w:rsidP="00000000" w:rsidRDefault="00000000" w:rsidRPr="00000000" w14:paraId="0000005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23 (</w:t>
      </w:r>
      <w:r w:rsidDel="00000000" w:rsidR="00000000" w:rsidRPr="00000000">
        <w:rPr>
          <w:rFonts w:ascii="Arial" w:cs="Arial" w:eastAsia="Arial" w:hAnsi="Arial"/>
          <w:sz w:val="24"/>
          <w:szCs w:val="24"/>
          <w:highlight w:val="white"/>
          <w:rtl w:val="0"/>
        </w:rPr>
        <w:t xml:space="preserve">HMRC Terms</w:t>
      </w:r>
      <w:r w:rsidDel="00000000" w:rsidR="00000000" w:rsidRPr="00000000">
        <w:rPr>
          <w:rFonts w:ascii="Arial" w:cs="Arial" w:eastAsia="Arial" w:hAnsi="Arial"/>
          <w:color w:val="000000"/>
          <w:sz w:val="24"/>
          <w:szCs w:val="24"/>
          <w:highlight w:val="white"/>
          <w:rtl w:val="0"/>
        </w:rPr>
        <w:t xml:space="preserve">)</w:t>
        <w:tab/>
        <w:tab/>
        <w:tab/>
      </w:r>
      <w:r w:rsidDel="00000000" w:rsidR="00000000" w:rsidRPr="00000000">
        <w:rPr>
          <w:rFonts w:ascii="Arial" w:cs="Arial" w:eastAsia="Arial" w:hAnsi="Arial"/>
          <w:sz w:val="24"/>
          <w:szCs w:val="24"/>
          <w:highlight w:val="white"/>
          <w:rtl w:val="0"/>
        </w:rPr>
        <w:tab/>
        <w:tab/>
      </w:r>
      <w:r w:rsidDel="00000000" w:rsidR="00000000" w:rsidRPr="00000000">
        <w:rPr>
          <w:rFonts w:ascii="Arial" w:cs="Arial" w:eastAsia="Arial" w:hAnsi="Arial"/>
          <w:color w:val="000000"/>
          <w:sz w:val="24"/>
          <w:szCs w:val="24"/>
          <w:highlight w:val="white"/>
          <w:rtl w:val="0"/>
        </w:rPr>
        <w:t xml:space="preserve"> ]</w:t>
      </w:r>
    </w:p>
    <w:p w:rsidR="00000000" w:rsidDel="00000000" w:rsidP="00000000" w:rsidRDefault="00000000" w:rsidRPr="00000000" w14:paraId="00000058">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24 (Supplier Furnished Terms)</w:t>
        <w:tab/>
        <w:tab/>
        <w:t xml:space="preserve"> </w:t>
      </w:r>
    </w:p>
    <w:p w:rsidR="00000000" w:rsidDel="00000000" w:rsidP="00000000" w:rsidRDefault="00000000" w:rsidRPr="00000000" w14:paraId="00000059">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A">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w:t>
      </w:r>
      <w:r w:rsidDel="00000000" w:rsidR="00000000" w:rsidRPr="00000000">
        <w:rPr>
          <w:rFonts w:ascii="Arial" w:cs="Arial" w:eastAsia="Arial" w:hAnsi="Arial"/>
          <w:sz w:val="24"/>
          <w:szCs w:val="24"/>
          <w:rtl w:val="0"/>
        </w:rPr>
        <w:t xml:space="preserve"> RM6116</w:t>
      </w:r>
      <w:r w:rsidDel="00000000" w:rsidR="00000000" w:rsidRPr="00000000">
        <w:rPr>
          <w:rtl w:val="0"/>
        </w:rPr>
      </w:r>
    </w:p>
    <w:p w:rsidR="00000000" w:rsidDel="00000000" w:rsidP="00000000" w:rsidRDefault="00000000" w:rsidRPr="00000000" w14:paraId="0000005B">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C">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schedule 25 (Supplier Operational Terms)</w:t>
      </w: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E">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F">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61">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62">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2"/>
      <w:bookmarkEnd w:id="2"/>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63">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64">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65">
      <w:pPr>
        <w:pageBreakBefore w:val="0"/>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66">
      <w:pPr>
        <w:pageBreakBefore w:val="0"/>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67">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8">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9">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B">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D">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spacing w:after="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OPTIONAL EXTENSION PERIOD</w:t>
        <w:tab/>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highlight w:val="white"/>
          <w:rtl w:val="0"/>
        </w:rPr>
        <w:t xml:space="preserve"> Years/ Months/ Not Applicable]</w:t>
      </w:r>
    </w:p>
    <w:p w:rsidR="00000000" w:rsidDel="00000000" w:rsidP="00000000" w:rsidRDefault="00000000" w:rsidRPr="00000000" w14:paraId="0000006F">
      <w:pPr>
        <w:spacing w:after="0" w:line="259"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70">
      <w:pPr>
        <w:spacing w:after="0" w:line="259" w:lineRule="auto"/>
        <w:rPr/>
      </w:pPr>
      <w:r w:rsidDel="00000000" w:rsidR="00000000" w:rsidRPr="00000000">
        <w:rPr>
          <w:rFonts w:ascii="Arial" w:cs="Arial" w:eastAsia="Arial" w:hAnsi="Arial"/>
          <w:sz w:val="24"/>
          <w:szCs w:val="24"/>
          <w:highlight w:val="white"/>
          <w:rtl w:val="0"/>
        </w:rPr>
        <w:t xml:space="preserve">MINIMUM PERIOD OF NOTICE FOR WITHOUT REASON TERMINATION </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highlight w:val="white"/>
          <w:rtl w:val="0"/>
        </w:rPr>
        <w:t xml:space="preserve"> minimum period of notice]</w:t>
      </w:r>
      <w:r w:rsidDel="00000000" w:rsidR="00000000" w:rsidRPr="00000000">
        <w:rPr>
          <w:rtl w:val="0"/>
        </w:rPr>
        <w:t xml:space="preserve">  </w:t>
      </w:r>
    </w:p>
    <w:p w:rsidR="00000000" w:rsidDel="00000000" w:rsidP="00000000" w:rsidRDefault="00000000" w:rsidRPr="00000000" w14:paraId="00000071">
      <w:pPr>
        <w:spacing w:after="0" w:line="259" w:lineRule="auto"/>
        <w:rPr/>
      </w:pPr>
      <w:r w:rsidDel="00000000" w:rsidR="00000000" w:rsidRPr="00000000">
        <w:rPr>
          <w:rtl w:val="0"/>
        </w:rPr>
      </w:r>
    </w:p>
    <w:p w:rsidR="00000000" w:rsidDel="00000000" w:rsidP="00000000" w:rsidRDefault="00000000" w:rsidRPr="00000000" w14:paraId="00000072">
      <w:pPr>
        <w:spacing w:after="0" w:before="24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CATALOGUE SERVICE OFFER REFERENCE [Insert Service Offer Reference] [</w:t>
      </w:r>
      <w:r w:rsidDel="00000000" w:rsidR="00000000" w:rsidRPr="00000000">
        <w:rPr>
          <w:rFonts w:ascii="Arial" w:cs="Arial" w:eastAsia="Arial" w:hAnsi="Arial"/>
          <w:b w:val="1"/>
          <w:sz w:val="24"/>
          <w:szCs w:val="24"/>
          <w:highlight w:val="yellow"/>
          <w:rtl w:val="0"/>
        </w:rPr>
        <w:t xml:space="preserve">Buyer guidance: </w:t>
      </w:r>
      <w:r w:rsidDel="00000000" w:rsidR="00000000" w:rsidRPr="00000000">
        <w:rPr>
          <w:rFonts w:ascii="Arial" w:cs="Arial" w:eastAsia="Arial" w:hAnsi="Arial"/>
          <w:sz w:val="24"/>
          <w:szCs w:val="24"/>
          <w:rtl w:val="0"/>
        </w:rPr>
        <w:t xml:space="preserve">Applicable only when ordering from the Catalogue.  Delete if not required and delete this guidance too].</w:t>
      </w:r>
    </w:p>
    <w:p w:rsidR="00000000" w:rsidDel="00000000" w:rsidP="00000000" w:rsidRDefault="00000000" w:rsidRPr="00000000" w14:paraId="00000073">
      <w:pPr>
        <w:spacing w:after="0" w:before="240" w:line="256.8"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w:t>
      </w:r>
    </w:p>
    <w:p w:rsidR="00000000" w:rsidDel="00000000" w:rsidP="00000000" w:rsidRDefault="00000000" w:rsidRPr="00000000" w14:paraId="00000074">
      <w:pPr>
        <w:spacing w:after="0" w:before="240" w:line="256.8"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DELIVERABLES VIA DIRECT AWARD</w:t>
      </w:r>
    </w:p>
    <w:p w:rsidR="00000000" w:rsidDel="00000000" w:rsidP="00000000" w:rsidRDefault="00000000" w:rsidRPr="00000000" w14:paraId="00000075">
      <w:pPr>
        <w:spacing w:after="0" w:before="240" w:line="256.8"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Applicable only when ordering from the Catalogue, delete if by Further Competition.  Complete option A and insert the details from the Supplier’s Service Offer, or, if the Deliverables are too complex for this form, use option B and Call-Off Schedule 20 instead. Delete the option that is not used. You must not include any Deliverables that are not included within the Suppliers’ Service Offer.]</w:t>
      </w:r>
    </w:p>
    <w:p w:rsidR="00000000" w:rsidDel="00000000" w:rsidP="00000000" w:rsidRDefault="00000000" w:rsidRPr="00000000" w14:paraId="00000076">
      <w:pPr>
        <w:spacing w:after="0" w:before="240" w:line="256.8"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p>
    <w:p w:rsidR="00000000" w:rsidDel="00000000" w:rsidP="00000000" w:rsidRDefault="00000000" w:rsidRPr="00000000" w14:paraId="00000077">
      <w:pPr>
        <w:spacing w:after="0" w:before="240" w:line="256.8"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p>
    <w:p w:rsidR="00000000" w:rsidDel="00000000" w:rsidP="00000000" w:rsidRDefault="00000000" w:rsidRPr="00000000" w14:paraId="00000078">
      <w:pPr>
        <w:spacing w:after="0" w:line="259" w:lineRule="auto"/>
        <w:rPr>
          <w:rFonts w:ascii="Arial" w:cs="Arial" w:eastAsia="Arial" w:hAnsi="Arial"/>
          <w:sz w:val="24"/>
          <w:szCs w:val="24"/>
          <w:highlight w:val="white"/>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79">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VIA FURTHER COMPETITION </w:t>
      </w:r>
    </w:p>
    <w:p w:rsidR="00000000" w:rsidDel="00000000" w:rsidP="00000000" w:rsidRDefault="00000000" w:rsidRPr="00000000" w14:paraId="0000007B">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Applicable when a Call-Off Contract is awarded in accordance with the Further Competition Procedure.  Delete if by Direct Award.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7C">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7D">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p>
    <w:p w:rsidR="00000000" w:rsidDel="00000000" w:rsidP="00000000" w:rsidRDefault="00000000" w:rsidRPr="00000000" w14:paraId="0000007E">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0">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81">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82">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83">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pageBreakBefore w:val="0"/>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85">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6">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7">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88">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89">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8A">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8B">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by Direct Award or if not otherwise used: All changes to the Charges must use procedures that are equivalent to those in Paragraphs 4, 5 and 6 (if used) in Framework Schedule 3 (Framework Prices)]</w:t>
      </w:r>
    </w:p>
    <w:p w:rsidR="00000000" w:rsidDel="00000000" w:rsidP="00000000" w:rsidRDefault="00000000" w:rsidRPr="00000000" w14:paraId="0000008C">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8D">
      <w:pPr>
        <w:pageBreakBefore w:val="0"/>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8E">
      <w:pPr>
        <w:pageBreakBefore w:val="0"/>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8F">
      <w:pPr>
        <w:pageBreakBefore w:val="0"/>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90">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91">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92">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93">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95">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96">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7">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98">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9">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A">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B">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C">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9E">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F">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0">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1">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2">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A4">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5">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A6">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A8">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9">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AA">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AC">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D">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E">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F">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0">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1">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B2">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3">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4">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5">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6">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B8">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B9">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A">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BB">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BC">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D">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BE">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Review Call-Off Schedule 7 (Key Supplier Staff)] [Insert Not Applicable] Or</w:t>
      </w:r>
    </w:p>
    <w:p w:rsidR="00000000" w:rsidDel="00000000" w:rsidP="00000000" w:rsidRDefault="00000000" w:rsidRPr="00000000" w14:paraId="000000BF">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C0">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C1">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C2">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C3">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C4">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5">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C6">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C7">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8">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C9">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CA">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B">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CC">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D">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CE">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CF">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D1">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2">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D3">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4">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D5">
      <w:pPr>
        <w:pageBreakBefore w:val="0"/>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6">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D7">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8">
      <w:pPr>
        <w:pageBreakBefore w:val="0"/>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D9">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DA">
      <w:pPr>
        <w:pageBreakBefore w:val="0"/>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DB">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DC">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DD">
      <w:pPr>
        <w:pageBreakBefore w:val="0"/>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108.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6">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A">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EE">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2">
      <w:pPr>
        <w:pageBreakBefore w:val="0"/>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F3">
      <w:pPr>
        <w:pageBreakBefore w:val="0"/>
        <w:rPr>
          <w:rFonts w:ascii="Arial" w:cs="Arial" w:eastAsia="Arial" w:hAnsi="Arial"/>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F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w:cs="Noto Sans" w:eastAsia="Noto Sans" w:hAnsi="Noto San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w:cs="Noto Sans" w:eastAsia="Noto Sans" w:hAnsi="Noto Sans"/>
      </w:rPr>
    </w:lvl>
    <w:lvl w:ilvl="3">
      <w:start w:val="1"/>
      <w:numFmt w:val="bullet"/>
      <w:lvlText w:val="●"/>
      <w:lvlJc w:val="left"/>
      <w:pPr>
        <w:ind w:left="3240" w:hanging="360"/>
      </w:pPr>
      <w:rPr>
        <w:rFonts w:ascii="Noto Sans" w:cs="Noto Sans" w:eastAsia="Noto Sans" w:hAnsi="Noto San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w:cs="Noto Sans" w:eastAsia="Noto Sans" w:hAnsi="Noto Sans"/>
      </w:rPr>
    </w:lvl>
    <w:lvl w:ilvl="6">
      <w:start w:val="1"/>
      <w:numFmt w:val="bullet"/>
      <w:lvlText w:val="●"/>
      <w:lvlJc w:val="left"/>
      <w:pPr>
        <w:ind w:left="5400" w:hanging="360"/>
      </w:pPr>
      <w:rPr>
        <w:rFonts w:ascii="Noto Sans" w:cs="Noto Sans" w:eastAsia="Noto Sans" w:hAnsi="Noto San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w:cs="Noto Sans" w:eastAsia="Noto Sans" w:hAnsi="Noto Sans"/>
      </w:rPr>
    </w:lvl>
  </w:abstractNum>
  <w:abstractNum w:abstractNumId="3">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5PzXlpqffZyGptpbg2w4zcEPNQ==">AMUW2mWOLrD5krT2AG49LJL1CoVdADeNyZHDJ536nLsIWhNS5TV1nDCuME5RA1yC3YEPEghNPxFC8WvROqtv5slrmgyEx7n5tQxjsDejgm77FmvacEilEfrpNuNxez27EmbZ7J/JyG5WE50dmJ68KvX0tLTU+TJX3g==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2021-02-11T17:42:00Z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